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4DCC0" w14:textId="77777777" w:rsidR="00BE0903" w:rsidRDefault="00BE0903" w:rsidP="00BE09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X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Y</w:t>
      </w:r>
    </w:p>
    <w:p w14:paraId="5085993A" w14:textId="77777777" w:rsidR="00BE0903" w:rsidRDefault="00BE0903" w:rsidP="00BE090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378CF274" wp14:editId="353E2322">
            <wp:extent cx="5273040" cy="2620010"/>
            <wp:effectExtent l="0" t="0" r="0" b="1270"/>
            <wp:docPr id="3" name="Picture 3" descr="MMV002231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MV002231(3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419FE" w14:textId="77777777" w:rsidR="00BE0903" w:rsidRDefault="00BE0903" w:rsidP="00BE090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75E989" w14:textId="77777777" w:rsidR="00BE0903" w:rsidRDefault="00BE0903" w:rsidP="00BE090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S1:  </w:t>
      </w:r>
      <w:r>
        <w:rPr>
          <w:rFonts w:ascii="Times New Roman" w:hAnsi="Times New Roman" w:cs="Times New Roman"/>
          <w:sz w:val="24"/>
          <w:szCs w:val="24"/>
        </w:rPr>
        <w:t xml:space="preserve">Illustration of (X) 3D and (Y) 2D visualization of the interaction between MMV002231 and the 23 </w:t>
      </w:r>
      <w:proofErr w:type="spellStart"/>
      <w:r>
        <w:rPr>
          <w:rFonts w:ascii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integral membrane protein (AF-Q26499-F1). </w:t>
      </w:r>
    </w:p>
    <w:p w14:paraId="7C9B76CC" w14:textId="77777777" w:rsidR="00F711C5" w:rsidRDefault="00F711C5"/>
    <w:sectPr w:rsidR="00F711C5" w:rsidSect="00BE0903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8F"/>
    <w:rsid w:val="0014768D"/>
    <w:rsid w:val="0028178F"/>
    <w:rsid w:val="002F345B"/>
    <w:rsid w:val="007175E8"/>
    <w:rsid w:val="008A4F45"/>
    <w:rsid w:val="00BE0903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C92A1-32F2-4D46-BB33-7B0DEFC2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903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7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7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7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7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7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78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78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78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78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7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1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78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1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78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1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78F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1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78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E0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2026-09-09T13:53:00Z</dcterms:created>
  <dcterms:modified xsi:type="dcterms:W3CDTF">2026-09-09T13:54:00Z</dcterms:modified>
</cp:coreProperties>
</file>